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A96C8" w14:textId="402FE5A3" w:rsidR="002311A3" w:rsidRPr="002311A3" w:rsidRDefault="002311A3" w:rsidP="002311A3">
      <w:pPr>
        <w:jc w:val="right"/>
        <w:rPr>
          <w:rFonts w:ascii="Century Gothic" w:hAnsi="Century Gothic" w:cs="Times New Roman"/>
          <w:b/>
          <w:i/>
          <w:noProof/>
          <w:color w:val="00B050"/>
          <w:lang w:val="en-US"/>
        </w:rPr>
      </w:pPr>
      <w:r w:rsidRPr="002311A3">
        <w:rPr>
          <w:rStyle w:val="Domylnaczcionkaakapitu7"/>
          <w:rFonts w:ascii="Century Gothic" w:hAnsi="Century Gothic"/>
          <w:b/>
          <w:noProof/>
          <w:color w:val="00B050"/>
          <w:lang w:val="en-US"/>
        </w:rPr>
        <w:t>Template - Annexe No. 8 to the Terms of Reference</w:t>
      </w:r>
    </w:p>
    <w:p w14:paraId="34776E05" w14:textId="77777777" w:rsidR="002311A3" w:rsidRPr="002311A3" w:rsidRDefault="002311A3" w:rsidP="002311A3">
      <w:pPr>
        <w:pStyle w:val="Textbody"/>
        <w:spacing w:before="0" w:after="0"/>
        <w:ind w:left="2832"/>
        <w:rPr>
          <w:rFonts w:ascii="Century Gothic" w:hAnsi="Century Gothic"/>
          <w:b/>
          <w:bCs/>
          <w:i/>
          <w:noProof/>
          <w:sz w:val="22"/>
          <w:szCs w:val="22"/>
          <w:lang w:val="en-US"/>
        </w:rPr>
      </w:pPr>
      <w:r w:rsidRPr="002311A3">
        <w:rPr>
          <w:rFonts w:ascii="Century Gothic" w:hAnsi="Century Gothic"/>
          <w:b/>
          <w:i/>
          <w:noProof/>
          <w:sz w:val="22"/>
          <w:szCs w:val="22"/>
          <w:lang w:val="en-US"/>
        </w:rPr>
        <w:tab/>
      </w:r>
      <w:r w:rsidRPr="002311A3">
        <w:rPr>
          <w:rFonts w:ascii="Century Gothic" w:hAnsi="Century Gothic"/>
          <w:b/>
          <w:i/>
          <w:noProof/>
          <w:sz w:val="22"/>
          <w:szCs w:val="22"/>
          <w:lang w:val="en-US"/>
        </w:rPr>
        <w:tab/>
      </w:r>
      <w:r w:rsidRPr="002311A3">
        <w:rPr>
          <w:rFonts w:ascii="Century Gothic" w:hAnsi="Century Gothic"/>
          <w:b/>
          <w:i/>
          <w:noProof/>
          <w:sz w:val="22"/>
          <w:szCs w:val="22"/>
          <w:lang w:val="en-US"/>
        </w:rPr>
        <w:tab/>
      </w:r>
      <w:r w:rsidRPr="002311A3">
        <w:rPr>
          <w:rFonts w:ascii="Century Gothic" w:hAnsi="Century Gothic"/>
          <w:b/>
          <w:i/>
          <w:noProof/>
          <w:sz w:val="22"/>
          <w:szCs w:val="22"/>
          <w:lang w:val="en-US"/>
        </w:rPr>
        <w:tab/>
      </w:r>
      <w:r w:rsidRPr="002311A3">
        <w:rPr>
          <w:rFonts w:ascii="Century Gothic" w:hAnsi="Century Gothic"/>
          <w:b/>
          <w:noProof/>
          <w:sz w:val="22"/>
          <w:szCs w:val="22"/>
          <w:lang w:val="en-US"/>
        </w:rPr>
        <w:t>Ordering Party:</w:t>
      </w:r>
    </w:p>
    <w:p w14:paraId="756A9F42" w14:textId="77777777" w:rsidR="002311A3" w:rsidRPr="002311A3" w:rsidRDefault="002311A3" w:rsidP="002311A3">
      <w:pPr>
        <w:spacing w:after="0"/>
        <w:ind w:left="5664"/>
        <w:rPr>
          <w:rFonts w:ascii="Century Gothic" w:hAnsi="Century Gothic"/>
          <w:noProof/>
          <w:lang w:val="en-US"/>
        </w:rPr>
      </w:pPr>
      <w:r w:rsidRPr="002311A3">
        <w:rPr>
          <w:rFonts w:ascii="Century Gothic" w:hAnsi="Century Gothic"/>
          <w:bCs/>
          <w:noProof/>
          <w:lang w:val="en-US"/>
        </w:rPr>
        <w:t xml:space="preserve">The Institute of High Pressure Physics of the Polish Academy of Sciences </w:t>
      </w:r>
      <w:r w:rsidRPr="002311A3">
        <w:rPr>
          <w:rFonts w:ascii="Century Gothic" w:hAnsi="Century Gothic"/>
          <w:bCs/>
          <w:i/>
          <w:iCs/>
          <w:noProof/>
          <w:lang w:val="en-US"/>
        </w:rPr>
        <w:t>[Instytut Wysokich Ciśnień Polskiej Akademii Nauk]</w:t>
      </w:r>
      <w:r w:rsidRPr="002311A3">
        <w:rPr>
          <w:rFonts w:ascii="Century Gothic" w:hAnsi="Century Gothic"/>
          <w:bCs/>
          <w:noProof/>
          <w:lang w:val="en-US"/>
        </w:rPr>
        <w:t>,</w:t>
      </w:r>
    </w:p>
    <w:p w14:paraId="60135C61" w14:textId="6334A353" w:rsidR="002311A3" w:rsidRPr="002311A3" w:rsidRDefault="002311A3" w:rsidP="002311A3">
      <w:pPr>
        <w:spacing w:after="0"/>
        <w:ind w:left="5664"/>
        <w:rPr>
          <w:rFonts w:ascii="Century Gothic" w:eastAsia="Times New Roman" w:hAnsi="Century Gothic" w:cs="Times New Roman"/>
          <w:noProof/>
        </w:rPr>
      </w:pPr>
      <w:r w:rsidRPr="002311A3">
        <w:rPr>
          <w:rFonts w:ascii="Century Gothic" w:hAnsi="Century Gothic"/>
          <w:noProof/>
        </w:rPr>
        <w:t>ul. Sokołowska 29/37,</w:t>
      </w:r>
    </w:p>
    <w:p w14:paraId="61CBDFDC" w14:textId="77777777" w:rsidR="002311A3" w:rsidRPr="002311A3" w:rsidRDefault="002311A3" w:rsidP="002311A3">
      <w:pPr>
        <w:spacing w:after="0"/>
        <w:ind w:left="5664"/>
        <w:rPr>
          <w:rFonts w:ascii="Century Gothic" w:eastAsia="Times New Roman" w:hAnsi="Century Gothic" w:cs="Times New Roman"/>
          <w:b/>
          <w:noProof/>
        </w:rPr>
      </w:pPr>
      <w:r w:rsidRPr="002311A3">
        <w:rPr>
          <w:rFonts w:ascii="Century Gothic" w:hAnsi="Century Gothic"/>
          <w:noProof/>
        </w:rPr>
        <w:t>01-142 Warszawa</w:t>
      </w:r>
    </w:p>
    <w:p w14:paraId="43DA25FD" w14:textId="77777777" w:rsidR="00917CE0" w:rsidRDefault="002311A3" w:rsidP="00917CE0">
      <w:pPr>
        <w:ind w:left="5664"/>
        <w:rPr>
          <w:rFonts w:ascii="Century Gothic" w:eastAsia="Times New Roman" w:hAnsi="Century Gothic" w:cs="font184"/>
          <w:bCs/>
          <w:noProof/>
          <w:lang w:val="en-US"/>
        </w:rPr>
      </w:pPr>
      <w:bookmarkStart w:id="0" w:name="_Hlk110336174"/>
      <w:bookmarkStart w:id="1" w:name="_Hlk142554079"/>
      <w:bookmarkStart w:id="2" w:name="_Hlk110333479"/>
      <w:r w:rsidRPr="00917CE0">
        <w:rPr>
          <w:rFonts w:ascii="Century Gothic" w:hAnsi="Century Gothic"/>
          <w:b/>
          <w:noProof/>
        </w:rPr>
        <w:t xml:space="preserve">Case no. </w:t>
      </w:r>
      <w:bookmarkStart w:id="3" w:name="_Hlk194323353"/>
      <w:bookmarkStart w:id="4" w:name="_Hlk212113292"/>
      <w:bookmarkEnd w:id="0"/>
      <w:bookmarkEnd w:id="1"/>
      <w:bookmarkEnd w:id="2"/>
      <w:r w:rsidR="00917CE0" w:rsidRPr="00674FE6">
        <w:rPr>
          <w:rFonts w:ascii="Century Gothic" w:hAnsi="Century Gothic"/>
          <w:b/>
          <w:bCs/>
          <w:noProof/>
          <w:color w:val="FF0000"/>
          <w:lang w:val="en-US"/>
        </w:rPr>
        <w:t>ZP-2</w:t>
      </w:r>
      <w:r w:rsidR="00917CE0">
        <w:rPr>
          <w:rFonts w:ascii="Century Gothic" w:hAnsi="Century Gothic"/>
          <w:b/>
          <w:bCs/>
          <w:noProof/>
          <w:color w:val="FF0000"/>
          <w:lang w:val="en-US"/>
        </w:rPr>
        <w:t>9</w:t>
      </w:r>
      <w:r w:rsidR="00917CE0" w:rsidRPr="00674FE6">
        <w:rPr>
          <w:rFonts w:ascii="Century Gothic" w:hAnsi="Century Gothic"/>
          <w:b/>
          <w:bCs/>
          <w:noProof/>
          <w:color w:val="FF0000"/>
          <w:lang w:val="en-US"/>
        </w:rPr>
        <w:t>2/</w:t>
      </w:r>
      <w:r w:rsidR="00917CE0">
        <w:rPr>
          <w:rFonts w:ascii="Century Gothic" w:hAnsi="Century Gothic"/>
          <w:b/>
          <w:bCs/>
          <w:noProof/>
          <w:color w:val="FF0000"/>
          <w:lang w:val="en-US"/>
        </w:rPr>
        <w:t>10</w:t>
      </w:r>
      <w:r w:rsidR="00917CE0" w:rsidRPr="00674FE6">
        <w:rPr>
          <w:rFonts w:ascii="Century Gothic" w:hAnsi="Century Gothic"/>
          <w:b/>
          <w:bCs/>
          <w:noProof/>
          <w:color w:val="FF0000"/>
          <w:lang w:val="en-US"/>
        </w:rPr>
        <w:t>/2025</w:t>
      </w:r>
      <w:bookmarkEnd w:id="3"/>
    </w:p>
    <w:p w14:paraId="22F046BC" w14:textId="77777777" w:rsidR="00917CE0" w:rsidRDefault="00917CE0" w:rsidP="00917CE0">
      <w:pPr>
        <w:pStyle w:val="Textbody"/>
        <w:ind w:left="0"/>
        <w:jc w:val="left"/>
        <w:rPr>
          <w:rFonts w:ascii="Century Gothic" w:hAnsi="Century Gothic"/>
          <w:b/>
          <w:lang w:val="en-US"/>
        </w:rPr>
      </w:pPr>
      <w:r>
        <w:rPr>
          <w:rFonts w:ascii="Century Gothic" w:hAnsi="Century Gothic"/>
          <w:b/>
          <w:noProof/>
          <w:szCs w:val="22"/>
          <w:lang w:val="en-US"/>
        </w:rPr>
        <w:t xml:space="preserve">Procedure: </w:t>
      </w:r>
      <w:r>
        <w:rPr>
          <w:rFonts w:ascii="Century Gothic" w:hAnsi="Century Gothic"/>
          <w:bCs/>
          <w:noProof/>
          <w:szCs w:val="22"/>
          <w:lang w:val="en-US"/>
        </w:rPr>
        <w:t>Delivery of equipment for measuring the Hall effect as a function of temperature in direct current and alternating current modes</w:t>
      </w:r>
    </w:p>
    <w:bookmarkEnd w:id="4"/>
    <w:p w14:paraId="24216E08" w14:textId="4A101FF4" w:rsidR="002311A3" w:rsidRPr="002311A3" w:rsidRDefault="002311A3" w:rsidP="00917CE0">
      <w:pPr>
        <w:ind w:left="5664"/>
        <w:rPr>
          <w:rFonts w:ascii="Century Gothic" w:eastAsia="Arial" w:hAnsi="Century Gothic"/>
          <w:noProof/>
          <w:color w:val="000000"/>
          <w:lang w:val="en-US"/>
        </w:rPr>
      </w:pPr>
      <w:r w:rsidRPr="002311A3">
        <w:rPr>
          <w:rFonts w:ascii="Century Gothic" w:hAnsi="Century Gothic"/>
          <w:b/>
          <w:noProof/>
          <w:color w:val="000000"/>
          <w:lang w:val="en-US"/>
        </w:rPr>
        <w:t xml:space="preserve">Contractor </w:t>
      </w:r>
    </w:p>
    <w:p w14:paraId="3186FEA0" w14:textId="77777777" w:rsidR="002311A3" w:rsidRPr="002311A3" w:rsidRDefault="002311A3" w:rsidP="002311A3">
      <w:pPr>
        <w:pStyle w:val="Textbody"/>
        <w:ind w:left="0"/>
        <w:rPr>
          <w:rFonts w:ascii="Century Gothic" w:hAnsi="Century Gothic"/>
          <w:b/>
          <w:noProof/>
          <w:sz w:val="22"/>
          <w:szCs w:val="22"/>
          <w:lang w:val="en-US"/>
        </w:rPr>
      </w:pPr>
      <w:r w:rsidRPr="002311A3">
        <w:rPr>
          <w:rFonts w:ascii="Century Gothic" w:hAnsi="Century Gothic"/>
          <w:b/>
          <w:noProof/>
          <w:sz w:val="22"/>
          <w:szCs w:val="22"/>
          <w:lang w:val="en-US"/>
        </w:rPr>
        <w:t>………………………………</w:t>
      </w:r>
    </w:p>
    <w:p w14:paraId="22E31DAD" w14:textId="77777777" w:rsidR="002311A3" w:rsidRPr="002311A3" w:rsidRDefault="002311A3" w:rsidP="002311A3">
      <w:pPr>
        <w:pStyle w:val="Textbody"/>
        <w:ind w:left="0"/>
        <w:rPr>
          <w:rFonts w:ascii="Century Gothic" w:hAnsi="Century Gothic"/>
          <w:noProof/>
          <w:sz w:val="22"/>
          <w:szCs w:val="22"/>
          <w:lang w:val="en-US"/>
        </w:rPr>
      </w:pPr>
      <w:r w:rsidRPr="002311A3">
        <w:rPr>
          <w:rFonts w:ascii="Century Gothic" w:hAnsi="Century Gothic"/>
          <w:noProof/>
          <w:sz w:val="22"/>
          <w:szCs w:val="22"/>
          <w:lang w:val="en-US"/>
        </w:rPr>
        <w:t>(full name / business name, address, NIP (Tax Identification Number) / KRS (National Court Register) entry number / CEiDG (Central Registration and Information on Business) entry number, as appropriate)</w:t>
      </w:r>
    </w:p>
    <w:p w14:paraId="7DF633FF" w14:textId="77777777" w:rsidR="002311A3" w:rsidRPr="002311A3" w:rsidRDefault="002311A3" w:rsidP="002311A3">
      <w:pPr>
        <w:pStyle w:val="Textbody"/>
        <w:ind w:left="0"/>
        <w:rPr>
          <w:rFonts w:ascii="Century Gothic" w:eastAsia="Arial" w:hAnsi="Century Gothic"/>
          <w:b/>
          <w:noProof/>
          <w:sz w:val="22"/>
          <w:szCs w:val="22"/>
          <w:lang w:val="en-US"/>
        </w:rPr>
      </w:pPr>
      <w:r w:rsidRPr="002311A3">
        <w:rPr>
          <w:rFonts w:ascii="Century Gothic" w:hAnsi="Century Gothic"/>
          <w:b/>
          <w:bCs/>
          <w:noProof/>
          <w:sz w:val="22"/>
          <w:szCs w:val="22"/>
          <w:lang w:val="en-US"/>
        </w:rPr>
        <w:t>represented by:</w:t>
      </w:r>
    </w:p>
    <w:p w14:paraId="6935C465" w14:textId="77777777" w:rsidR="002311A3" w:rsidRPr="002311A3" w:rsidRDefault="002311A3" w:rsidP="002311A3">
      <w:pPr>
        <w:pStyle w:val="Textbody"/>
        <w:ind w:left="0"/>
        <w:rPr>
          <w:rFonts w:ascii="Century Gothic" w:hAnsi="Century Gothic"/>
          <w:b/>
          <w:noProof/>
          <w:sz w:val="22"/>
          <w:szCs w:val="22"/>
          <w:lang w:val="en-US"/>
        </w:rPr>
      </w:pPr>
      <w:r w:rsidRPr="002311A3">
        <w:rPr>
          <w:rFonts w:ascii="Century Gothic" w:hAnsi="Century Gothic"/>
          <w:b/>
          <w:noProof/>
          <w:sz w:val="22"/>
          <w:szCs w:val="22"/>
          <w:lang w:val="en-US"/>
        </w:rPr>
        <w:t>………………………………</w:t>
      </w:r>
    </w:p>
    <w:p w14:paraId="4EBC3793" w14:textId="77777777" w:rsidR="002311A3" w:rsidRPr="002311A3" w:rsidRDefault="002311A3" w:rsidP="002311A3">
      <w:pPr>
        <w:pStyle w:val="Textbody"/>
        <w:ind w:left="0"/>
        <w:rPr>
          <w:rFonts w:ascii="Century Gothic" w:hAnsi="Century Gothic"/>
          <w:noProof/>
          <w:sz w:val="22"/>
          <w:szCs w:val="22"/>
          <w:lang w:val="en-US"/>
        </w:rPr>
      </w:pPr>
      <w:r w:rsidRPr="002311A3">
        <w:rPr>
          <w:rFonts w:ascii="Century Gothic" w:hAnsi="Century Gothic"/>
          <w:noProof/>
          <w:sz w:val="22"/>
          <w:szCs w:val="22"/>
          <w:lang w:val="en-US"/>
        </w:rPr>
        <w:t>(full name, position / basis for representation)</w:t>
      </w:r>
    </w:p>
    <w:p w14:paraId="7CB3B052" w14:textId="77777777" w:rsidR="00FF4E72" w:rsidRPr="002311A3" w:rsidRDefault="00FF4E72" w:rsidP="00FF4E72">
      <w:pPr>
        <w:pStyle w:val="Tekstpodstawowy"/>
        <w:spacing w:after="0" w:line="240" w:lineRule="auto"/>
        <w:ind w:left="3564" w:firstLine="684"/>
        <w:rPr>
          <w:rFonts w:ascii="Century Gothic" w:hAnsi="Century Gothic"/>
          <w:sz w:val="22"/>
          <w:szCs w:val="22"/>
          <w:lang w:val="en-US"/>
        </w:rPr>
      </w:pPr>
    </w:p>
    <w:p w14:paraId="6B87170A" w14:textId="77777777" w:rsidR="002311A3" w:rsidRPr="002311A3" w:rsidRDefault="002311A3" w:rsidP="002311A3">
      <w:pPr>
        <w:jc w:val="center"/>
        <w:rPr>
          <w:rFonts w:ascii="Century Gothic" w:eastAsia="Calibri" w:hAnsi="Century Gothic" w:cs="Times New Roman"/>
          <w:b/>
          <w:bCs/>
          <w:color w:val="00B050"/>
          <w:lang w:val="en-US" w:eastAsia="pl-PL"/>
        </w:rPr>
      </w:pPr>
      <w:r w:rsidRPr="002311A3">
        <w:rPr>
          <w:rFonts w:ascii="Century Gothic" w:eastAsia="Calibri" w:hAnsi="Century Gothic" w:cs="Times New Roman"/>
          <w:b/>
          <w:bCs/>
          <w:color w:val="00B050"/>
          <w:lang w:val="en-US" w:eastAsia="pl-PL"/>
        </w:rPr>
        <w:t>DNSH DECLARATION</w:t>
      </w:r>
    </w:p>
    <w:p w14:paraId="6E807618" w14:textId="77777777" w:rsidR="002311A3" w:rsidRPr="002311A3" w:rsidRDefault="002311A3" w:rsidP="002311A3">
      <w:pPr>
        <w:rPr>
          <w:rFonts w:ascii="Century Gothic" w:eastAsia="Calibri" w:hAnsi="Century Gothic" w:cs="Times New Roman"/>
          <w:b/>
          <w:bCs/>
          <w:color w:val="00B050"/>
          <w:lang w:val="en-US" w:eastAsia="pl-PL"/>
        </w:rPr>
      </w:pPr>
      <w:r w:rsidRPr="002311A3">
        <w:rPr>
          <w:rFonts w:ascii="Century Gothic" w:eastAsia="Calibri" w:hAnsi="Century Gothic" w:cs="Times New Roman"/>
          <w:b/>
          <w:bCs/>
          <w:color w:val="00B050"/>
          <w:lang w:val="en-US" w:eastAsia="pl-PL"/>
        </w:rPr>
        <w:t>Declaration regarding the project's compliance with the "Do No Significant Harm" principle within the meaning of Article 17 of Regulation (EU) No 2020/852 (Taxonomy Regulation)</w:t>
      </w:r>
    </w:p>
    <w:p w14:paraId="533D88BE"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I/We declare that, in executing the above public procurement, our company complies with the DNSH principle. In particular, the implementation of the Subject Matter of the Contract:</w:t>
      </w:r>
    </w:p>
    <w:p w14:paraId="7AB3C3C7"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does not cause significant harm to the environmental objectives of the European Union;</w:t>
      </w:r>
    </w:p>
    <w:p w14:paraId="5D6A9291"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does not lead to significant greenhouse gas emissions;</w:t>
      </w:r>
    </w:p>
    <w:p w14:paraId="5C85A675"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does not lead to an exacerbation of the adverse effects of current and expected future climatic conditions on these activities or on people, nature, or assets;</w:t>
      </w:r>
    </w:p>
    <w:p w14:paraId="0E4FB1EB"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does not harm the good condition or ecological potential of water bodies, including surface water and groundwater, and the good environmental condition of marine waters;</w:t>
      </w:r>
    </w:p>
    <w:p w14:paraId="22694EED"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xml:space="preserve">- does not lead to significant inefficiencies in the use of materials or the direct or indirect use of natural resources, such as non-renewable energy sources, raw materials, water, and land, at least in one stage of the product life cycle, including in terms of product durability and the possibility of repairing, upgrading, reusing, or recycling them; - does not lead to a significant increase in waste generation, incineration, or disposal, with the exception of the incineration of hazardous waste </w:t>
      </w:r>
      <w:r w:rsidRPr="00917CE0">
        <w:rPr>
          <w:rFonts w:ascii="Century Gothic" w:hAnsi="Century Gothic"/>
          <w:lang w:val="en-US"/>
        </w:rPr>
        <w:lastRenderedPageBreak/>
        <w:t>that is not suitable for recycling or long-term storage of waste that could cause serious and long-term environmental damage;</w:t>
      </w:r>
    </w:p>
    <w:p w14:paraId="3D05A9AC"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does not lead to a significant increase in pollutant emissions into air, water, or soil compared to the situation prior to the commencement of the Subject Matter of the Order;</w:t>
      </w:r>
    </w:p>
    <w:p w14:paraId="1D4B0194"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does not significantly impair the health and resilience of ecosystems;</w:t>
      </w:r>
    </w:p>
    <w:p w14:paraId="6188594A"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is not detrimental to the conservation status of habitats and species, including habitats and species of interest to the European Union;</w:t>
      </w:r>
    </w:p>
    <w:p w14:paraId="46D65382"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does not contain components or substances hazardous to the environment to a significant extent;</w:t>
      </w:r>
    </w:p>
    <w:p w14:paraId="274E8416"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the subject matter of the order was designed and manufactured with consideration for energy-efficient operation, waste reduction, and the possibility of recycling components at the end of the product's life cycle;</w:t>
      </w:r>
    </w:p>
    <w:p w14:paraId="0A2DFC03"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 meets compliance requirements, e.g., REACH, RoHS, and is CE marked.</w:t>
      </w:r>
    </w:p>
    <w:p w14:paraId="2129C586" w14:textId="77777777" w:rsidR="00917CE0" w:rsidRPr="00917CE0" w:rsidRDefault="00917CE0" w:rsidP="00917CE0">
      <w:pPr>
        <w:tabs>
          <w:tab w:val="left" w:pos="1978"/>
          <w:tab w:val="left" w:pos="3828"/>
          <w:tab w:val="center" w:pos="4677"/>
        </w:tabs>
        <w:spacing w:after="0"/>
        <w:rPr>
          <w:rFonts w:ascii="Century Gothic" w:hAnsi="Century Gothic"/>
          <w:lang w:val="en-US"/>
        </w:rPr>
      </w:pPr>
    </w:p>
    <w:p w14:paraId="5A8B75A0" w14:textId="77777777" w:rsidR="00917CE0" w:rsidRPr="00917CE0" w:rsidRDefault="00917CE0" w:rsidP="00917CE0">
      <w:pPr>
        <w:tabs>
          <w:tab w:val="left" w:pos="1978"/>
          <w:tab w:val="left" w:pos="3828"/>
          <w:tab w:val="center" w:pos="4677"/>
        </w:tabs>
        <w:spacing w:after="0"/>
        <w:rPr>
          <w:rFonts w:ascii="Century Gothic" w:hAnsi="Century Gothic"/>
          <w:lang w:val="en-US"/>
        </w:rPr>
      </w:pPr>
      <w:r w:rsidRPr="00917CE0">
        <w:rPr>
          <w:rFonts w:ascii="Century Gothic" w:hAnsi="Century Gothic"/>
          <w:lang w:val="en-US"/>
        </w:rPr>
        <w:t>We will provide environmental certificates for the subject matter of the order no later than the date of contract signature.</w:t>
      </w:r>
    </w:p>
    <w:p w14:paraId="332C740F" w14:textId="77777777" w:rsidR="00917CE0" w:rsidRPr="00917CE0" w:rsidRDefault="00917CE0" w:rsidP="00917CE0">
      <w:pPr>
        <w:tabs>
          <w:tab w:val="left" w:pos="1978"/>
          <w:tab w:val="left" w:pos="3828"/>
          <w:tab w:val="center" w:pos="4677"/>
        </w:tabs>
        <w:spacing w:after="0"/>
        <w:rPr>
          <w:rFonts w:ascii="Century Gothic" w:hAnsi="Century Gothic"/>
          <w:lang w:val="en-US"/>
        </w:rPr>
      </w:pPr>
    </w:p>
    <w:p w14:paraId="21E62880" w14:textId="4B6D43BB" w:rsidR="00692873" w:rsidRPr="002311A3" w:rsidRDefault="00917CE0" w:rsidP="00917CE0">
      <w:pPr>
        <w:tabs>
          <w:tab w:val="left" w:pos="1978"/>
          <w:tab w:val="left" w:pos="3828"/>
          <w:tab w:val="center" w:pos="4677"/>
        </w:tabs>
        <w:spacing w:after="0"/>
        <w:rPr>
          <w:rFonts w:ascii="Century Gothic" w:hAnsi="Century Gothic" w:cs="Times New Roman"/>
          <w:b/>
          <w:i/>
          <w:color w:val="FF0000"/>
          <w:lang w:val="en-US"/>
        </w:rPr>
      </w:pPr>
      <w:r w:rsidRPr="00917CE0">
        <w:rPr>
          <w:rFonts w:ascii="Century Gothic" w:hAnsi="Century Gothic"/>
          <w:lang w:val="en-US"/>
        </w:rPr>
        <w:t>If the product is not subject to the obligation to issue the above certificates, we will provide the manufacturer's declaration of conformity.</w:t>
      </w:r>
      <w:bookmarkStart w:id="5" w:name="_GoBack"/>
      <w:bookmarkEnd w:id="5"/>
    </w:p>
    <w:p w14:paraId="30E218FB" w14:textId="77777777" w:rsidR="002311A3" w:rsidRDefault="002311A3" w:rsidP="002311A3">
      <w:pPr>
        <w:tabs>
          <w:tab w:val="left" w:pos="1978"/>
          <w:tab w:val="left" w:pos="3828"/>
          <w:tab w:val="center" w:pos="4677"/>
        </w:tabs>
        <w:spacing w:after="0"/>
        <w:rPr>
          <w:rFonts w:ascii="Century Gothic" w:hAnsi="Century Gothic"/>
          <w:b/>
          <w:i/>
          <w:noProof/>
          <w:color w:val="FF0000"/>
          <w:lang w:val="en-US"/>
        </w:rPr>
      </w:pPr>
    </w:p>
    <w:p w14:paraId="6FAE9E41" w14:textId="14F9092F" w:rsidR="002311A3" w:rsidRPr="002311A3" w:rsidRDefault="002311A3" w:rsidP="002311A3">
      <w:pPr>
        <w:tabs>
          <w:tab w:val="left" w:pos="1978"/>
          <w:tab w:val="left" w:pos="3828"/>
          <w:tab w:val="center" w:pos="4677"/>
        </w:tabs>
        <w:spacing w:after="0"/>
        <w:rPr>
          <w:rFonts w:ascii="Century Gothic" w:hAnsi="Century Gothic" w:cs="Times New Roman"/>
          <w:b/>
          <w:i/>
          <w:noProof/>
          <w:color w:val="FF0000"/>
          <w:lang w:val="en-US"/>
        </w:rPr>
      </w:pPr>
      <w:r w:rsidRPr="002311A3">
        <w:rPr>
          <w:rFonts w:ascii="Century Gothic" w:hAnsi="Century Gothic"/>
          <w:b/>
          <w:i/>
          <w:noProof/>
          <w:color w:val="FF0000"/>
          <w:lang w:val="en-US"/>
        </w:rPr>
        <w:t>The document shall be completed and signed with a qualified electronic signature</w:t>
      </w:r>
    </w:p>
    <w:p w14:paraId="515AEE4B" w14:textId="6CE524E8" w:rsidR="002F6A5E" w:rsidRPr="002311A3" w:rsidRDefault="002311A3" w:rsidP="002311A3">
      <w:pPr>
        <w:tabs>
          <w:tab w:val="left" w:pos="1978"/>
          <w:tab w:val="left" w:pos="3828"/>
          <w:tab w:val="center" w:pos="4677"/>
        </w:tabs>
        <w:spacing w:after="0"/>
        <w:rPr>
          <w:rFonts w:ascii="Century Gothic" w:hAnsi="Century Gothic"/>
          <w:lang w:val="en-US"/>
        </w:rPr>
      </w:pPr>
      <w:r w:rsidRPr="002311A3">
        <w:rPr>
          <w:rFonts w:ascii="Century Gothic" w:hAnsi="Century Gothic"/>
          <w:b/>
          <w:i/>
          <w:noProof/>
          <w:color w:val="FF0000"/>
          <w:lang w:val="en-US"/>
        </w:rPr>
        <w:t xml:space="preserve">The Ordering Party recommends saving the document in PDF format. </w:t>
      </w:r>
    </w:p>
    <w:sectPr w:rsidR="002F6A5E" w:rsidRPr="002311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52211" w14:textId="77777777" w:rsidR="002B5040" w:rsidRDefault="002B5040" w:rsidP="00FF4E72">
      <w:pPr>
        <w:spacing w:after="0" w:line="240" w:lineRule="auto"/>
      </w:pPr>
      <w:r>
        <w:separator/>
      </w:r>
    </w:p>
  </w:endnote>
  <w:endnote w:type="continuationSeparator" w:id="0">
    <w:p w14:paraId="476CF121" w14:textId="77777777" w:rsidR="002B5040" w:rsidRDefault="002B5040" w:rsidP="00FF4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font184">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CC244" w14:textId="77777777" w:rsidR="002B5040" w:rsidRDefault="002B5040" w:rsidP="00FF4E72">
      <w:pPr>
        <w:spacing w:after="0" w:line="240" w:lineRule="auto"/>
      </w:pPr>
      <w:r>
        <w:separator/>
      </w:r>
    </w:p>
  </w:footnote>
  <w:footnote w:type="continuationSeparator" w:id="0">
    <w:p w14:paraId="0F2A6896" w14:textId="77777777" w:rsidR="002B5040" w:rsidRDefault="002B5040" w:rsidP="00FF4E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B5B03" w14:textId="2283DBF7" w:rsidR="00FF4E72" w:rsidRDefault="002311A3" w:rsidP="00FF4E72">
    <w:pPr>
      <w:pStyle w:val="Nagwek"/>
      <w:jc w:val="center"/>
    </w:pPr>
    <w:r>
      <w:rPr>
        <w:noProof/>
      </w:rPr>
      <w:drawing>
        <wp:inline distT="0" distB="0" distL="0" distR="0" wp14:anchorId="577A9174" wp14:editId="28A023A3">
          <wp:extent cx="5760720" cy="801699"/>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16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535766"/>
    <w:multiLevelType w:val="hybridMultilevel"/>
    <w:tmpl w:val="6C0C84C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 w15:restartNumberingAfterBreak="0">
    <w:nsid w:val="6482118A"/>
    <w:multiLevelType w:val="multilevel"/>
    <w:tmpl w:val="2EE6BB6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A5E"/>
    <w:rsid w:val="00176D45"/>
    <w:rsid w:val="00222F62"/>
    <w:rsid w:val="002311A3"/>
    <w:rsid w:val="00294631"/>
    <w:rsid w:val="002B5040"/>
    <w:rsid w:val="002E78A8"/>
    <w:rsid w:val="002F67E1"/>
    <w:rsid w:val="002F6A5E"/>
    <w:rsid w:val="00425E3A"/>
    <w:rsid w:val="00442EF4"/>
    <w:rsid w:val="004D3282"/>
    <w:rsid w:val="0066413D"/>
    <w:rsid w:val="00682840"/>
    <w:rsid w:val="00692873"/>
    <w:rsid w:val="00710EF2"/>
    <w:rsid w:val="00784966"/>
    <w:rsid w:val="007D539A"/>
    <w:rsid w:val="00835936"/>
    <w:rsid w:val="008E2688"/>
    <w:rsid w:val="00917CE0"/>
    <w:rsid w:val="009702C3"/>
    <w:rsid w:val="00996255"/>
    <w:rsid w:val="009C6FFC"/>
    <w:rsid w:val="009D761B"/>
    <w:rsid w:val="00A55C49"/>
    <w:rsid w:val="00A87AFC"/>
    <w:rsid w:val="00AD0D42"/>
    <w:rsid w:val="00B03841"/>
    <w:rsid w:val="00BA24B0"/>
    <w:rsid w:val="00BA3038"/>
    <w:rsid w:val="00C432AE"/>
    <w:rsid w:val="00D01196"/>
    <w:rsid w:val="00D82F59"/>
    <w:rsid w:val="00DD35C3"/>
    <w:rsid w:val="00E27D8A"/>
    <w:rsid w:val="00E33FEF"/>
    <w:rsid w:val="00F3624B"/>
    <w:rsid w:val="00FF4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07B3D"/>
  <w15:chartTrackingRefBased/>
  <w15:docId w15:val="{51B8BB40-C15A-4879-9DC5-D056976C3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F4E72"/>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F4E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4E72"/>
  </w:style>
  <w:style w:type="paragraph" w:styleId="Stopka">
    <w:name w:val="footer"/>
    <w:basedOn w:val="Normalny"/>
    <w:link w:val="StopkaZnak"/>
    <w:uiPriority w:val="99"/>
    <w:unhideWhenUsed/>
    <w:rsid w:val="00FF4E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4E72"/>
  </w:style>
  <w:style w:type="character" w:customStyle="1" w:styleId="TekstpodstawowyZnak">
    <w:name w:val="Tekst podstawowy Znak"/>
    <w:basedOn w:val="Domylnaczcionkaakapitu"/>
    <w:link w:val="Textbody"/>
    <w:qFormat/>
    <w:rsid w:val="00FF4E72"/>
    <w:rPr>
      <w:rFonts w:eastAsia="Times New Roman" w:cs="Calibri"/>
      <w:kern w:val="2"/>
      <w:sz w:val="24"/>
      <w:szCs w:val="24"/>
      <w:lang w:eastAsia="ar-SA" w:bidi="hi-IN"/>
    </w:rPr>
  </w:style>
  <w:style w:type="character" w:customStyle="1" w:styleId="AkapitzlistZnak">
    <w:name w:val="Akapit z listą Znak"/>
    <w:aliases w:val="Akapit z listą BS Znak,L1 Znak,Numerowanie Znak,List Paragraph Znak,Akapit z listą5 Znak"/>
    <w:link w:val="Akapitzlist"/>
    <w:uiPriority w:val="34"/>
    <w:qFormat/>
    <w:locked/>
    <w:rsid w:val="00FF4E72"/>
  </w:style>
  <w:style w:type="paragraph" w:styleId="Tekstpodstawowy">
    <w:name w:val="Body Text"/>
    <w:basedOn w:val="Normalny"/>
    <w:link w:val="TekstpodstawowyZnak1"/>
    <w:rsid w:val="00FF4E72"/>
    <w:pPr>
      <w:overflowPunct w:val="0"/>
      <w:spacing w:after="140" w:line="276" w:lineRule="auto"/>
    </w:pPr>
    <w:rPr>
      <w:rFonts w:eastAsia="Times New Roman" w:cs="Calibri"/>
      <w:kern w:val="2"/>
      <w:sz w:val="24"/>
      <w:szCs w:val="24"/>
      <w:lang w:eastAsia="ar-SA" w:bidi="hi-IN"/>
    </w:rPr>
  </w:style>
  <w:style w:type="character" w:customStyle="1" w:styleId="TekstpodstawowyZnak1">
    <w:name w:val="Tekst podstawowy Znak1"/>
    <w:basedOn w:val="Domylnaczcionkaakapitu"/>
    <w:link w:val="Tekstpodstawowy"/>
    <w:rsid w:val="00FF4E72"/>
    <w:rPr>
      <w:rFonts w:eastAsia="Times New Roman" w:cs="Calibri"/>
      <w:kern w:val="2"/>
      <w:sz w:val="24"/>
      <w:szCs w:val="24"/>
      <w:lang w:eastAsia="ar-SA" w:bidi="hi-IN"/>
    </w:rPr>
  </w:style>
  <w:style w:type="paragraph" w:customStyle="1" w:styleId="Textbody">
    <w:name w:val="Text body"/>
    <w:basedOn w:val="Normalny"/>
    <w:link w:val="TekstpodstawowyZnak"/>
    <w:qFormat/>
    <w:rsid w:val="00FF4E72"/>
    <w:pPr>
      <w:spacing w:before="120" w:after="120" w:line="240" w:lineRule="auto"/>
      <w:ind w:left="709"/>
      <w:jc w:val="both"/>
    </w:pPr>
    <w:rPr>
      <w:rFonts w:eastAsia="Times New Roman" w:cs="Calibri"/>
      <w:kern w:val="2"/>
      <w:sz w:val="24"/>
      <w:szCs w:val="24"/>
      <w:lang w:eastAsia="ar-SA" w:bidi="hi-IN"/>
    </w:rPr>
  </w:style>
  <w:style w:type="paragraph" w:styleId="Akapitzlist">
    <w:name w:val="List Paragraph"/>
    <w:aliases w:val="Akapit z listą BS,L1,Numerowanie,List Paragraph,Akapit z listą5"/>
    <w:basedOn w:val="Normalny"/>
    <w:link w:val="AkapitzlistZnak"/>
    <w:uiPriority w:val="34"/>
    <w:qFormat/>
    <w:rsid w:val="00FF4E72"/>
    <w:pPr>
      <w:ind w:left="720"/>
      <w:contextualSpacing/>
    </w:pPr>
  </w:style>
  <w:style w:type="paragraph" w:customStyle="1" w:styleId="Default">
    <w:name w:val="Default"/>
    <w:qFormat/>
    <w:rsid w:val="00FF4E72"/>
    <w:pPr>
      <w:suppressAutoHyphens/>
      <w:spacing w:after="0" w:line="240" w:lineRule="auto"/>
    </w:pPr>
    <w:rPr>
      <w:rFonts w:ascii="Century Gothic" w:eastAsia="Calibri" w:hAnsi="Century Gothic" w:cs="Century Gothic"/>
      <w:color w:val="000000"/>
      <w:sz w:val="24"/>
      <w:szCs w:val="24"/>
    </w:rPr>
  </w:style>
  <w:style w:type="paragraph" w:styleId="Tekstprzypisudolnego">
    <w:name w:val="footnote text"/>
    <w:basedOn w:val="Normalny"/>
    <w:link w:val="TekstprzypisudolnegoZnak"/>
    <w:uiPriority w:val="99"/>
    <w:semiHidden/>
    <w:unhideWhenUsed/>
    <w:rsid w:val="0029463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4631"/>
    <w:rPr>
      <w:sz w:val="20"/>
      <w:szCs w:val="20"/>
    </w:rPr>
  </w:style>
  <w:style w:type="character" w:styleId="Odwoanieprzypisudolnego">
    <w:name w:val="footnote reference"/>
    <w:basedOn w:val="Domylnaczcionkaakapitu"/>
    <w:uiPriority w:val="99"/>
    <w:semiHidden/>
    <w:unhideWhenUsed/>
    <w:rsid w:val="00294631"/>
    <w:rPr>
      <w:vertAlign w:val="superscript"/>
    </w:rPr>
  </w:style>
  <w:style w:type="character" w:customStyle="1" w:styleId="Domylnaczcionkaakapitu7">
    <w:name w:val="Domyślna czcionka akapitu7"/>
    <w:rsid w:val="00692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482</Words>
  <Characters>2898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4</cp:revision>
  <cp:lastPrinted>2025-07-21T09:00:00Z</cp:lastPrinted>
  <dcterms:created xsi:type="dcterms:W3CDTF">2025-07-21T12:20:00Z</dcterms:created>
  <dcterms:modified xsi:type="dcterms:W3CDTF">2025-10-23T10:08:00Z</dcterms:modified>
</cp:coreProperties>
</file>